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1C" w:rsidRPr="00133B1C" w:rsidRDefault="00133B1C" w:rsidP="00133B1C">
      <w:pPr>
        <w:shd w:val="clear" w:color="auto" w:fill="FFFFFF"/>
        <w:spacing w:before="100" w:beforeAutospacing="1" w:after="63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0"/>
          <w:szCs w:val="20"/>
          <w:lang w:eastAsia="ru-RU"/>
        </w:rPr>
      </w:pPr>
      <w:proofErr w:type="spellStart"/>
      <w:r w:rsidRPr="00133B1C">
        <w:rPr>
          <w:rFonts w:ascii="Verdana" w:eastAsia="Times New Roman" w:hAnsi="Verdana" w:cs="Times New Roman"/>
          <w:b/>
          <w:bCs/>
          <w:color w:val="777777"/>
          <w:kern w:val="36"/>
          <w:sz w:val="20"/>
          <w:szCs w:val="20"/>
          <w:lang w:eastAsia="ru-RU"/>
        </w:rPr>
        <w:t>Антисанкционные</w:t>
      </w:r>
      <w:proofErr w:type="spellEnd"/>
      <w:r w:rsidRPr="00133B1C">
        <w:rPr>
          <w:rFonts w:ascii="Verdana" w:eastAsia="Times New Roman" w:hAnsi="Verdana" w:cs="Times New Roman"/>
          <w:b/>
          <w:bCs/>
          <w:color w:val="777777"/>
          <w:kern w:val="36"/>
          <w:sz w:val="20"/>
          <w:szCs w:val="20"/>
          <w:lang w:eastAsia="ru-RU"/>
        </w:rPr>
        <w:t xml:space="preserve"> меры: поддержка бизнеса</w:t>
      </w:r>
    </w:p>
    <w:p w:rsidR="00133B1C" w:rsidRPr="00133B1C" w:rsidRDefault="00133B1C" w:rsidP="00133B1C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33B1C">
        <w:rPr>
          <w:rFonts w:ascii="Verdana" w:eastAsia="Times New Roman" w:hAnsi="Verdana" w:cs="Times New Roman"/>
          <w:b/>
          <w:bCs/>
          <w:color w:val="FF0000"/>
          <w:sz w:val="14"/>
          <w:szCs w:val="14"/>
          <w:lang w:eastAsia="ru-RU"/>
        </w:rPr>
        <w:t>ФИНАНСОВЫЕ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81"/>
        <w:gridCol w:w="2330"/>
        <w:gridCol w:w="5724"/>
      </w:tblGrid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Для кого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Мера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Подробная информация</w:t>
            </w:r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Программа льготного кредитования под 2,5-4% годовых для предприятий, которые относятся к обрабатывающему производству, гостиничному бизнесу, профессиональной, научной и технической деятельности, деятельности в области архитектуры и инженерно-технических испытаний (исключение для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подкода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, связанного с застройщиками)</w:t>
            </w:r>
            <w:proofErr w:type="gram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За кредитом можно обратиться в 48 банков: </w:t>
            </w:r>
            <w:hyperlink r:id="rId4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https://corpmsp.ru/bankam/psk1764/</w:t>
              </w:r>
            </w:hyperlink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Центр поддержки инвестиционного кредитования Корпорации МСП: </w:t>
            </w:r>
            <w:hyperlink r:id="rId5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https://мсп.рф/services/competence-credit/promo/</w:t>
              </w:r>
            </w:hyperlink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Программа льготного кредитования (ПСК):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12% для микро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11,5% для малого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10,5 % для среднего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За кредитом можно обратиться в 61 банк: </w:t>
            </w:r>
            <w:hyperlink r:id="rId6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https://corpmsp.ru/bankam/programma_stimulir/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Программа льготного кредитования «1764» по ставкам до 10,25% годовых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За кредитом можно обратиться в </w:t>
            </w:r>
            <w:hyperlink r:id="rId7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96 банков</w:t>
              </w:r>
            </w:hyperlink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, которые участвуют в программе.</w:t>
            </w:r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Малые и средние предприятия IT-отрасли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Программа льготного кредитования высокотехнологичных инновационных компаний «Взлёт – от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стартапа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до IPO» по ставке 3% годовых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Заявки на льг</w:t>
            </w:r>
            <w:r w:rsidRPr="00133B1C">
              <w:rPr>
                <w:rFonts w:ascii="Verdana" w:eastAsia="Times New Roman" w:hAnsi="Verdana" w:cs="Times New Roman"/>
                <w:i/>
                <w:iCs/>
                <w:color w:val="000000"/>
                <w:sz w:val="14"/>
                <w:lang w:eastAsia="ru-RU"/>
              </w:rPr>
              <w:t>от</w:t>
            </w: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ное кредитование подаются через МСП</w:t>
            </w:r>
            <w:proofErr w:type="gram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Ф: </w:t>
            </w:r>
            <w:hyperlink r:id="rId8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https://мсп.рф/hightech.new/promo/</w:t>
              </w:r>
            </w:hyperlink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Кредиты выдает МСП Банк. Получить подробную консультацию по кредитованию можно в представительстве в Красноярске (ул. </w:t>
            </w:r>
            <w:proofErr w:type="gram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Новосибирская</w:t>
            </w:r>
            <w:proofErr w:type="gram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, 9а, офис 2-01) или по тел.: (391) 202-21-34, 8-963-255-77-25.</w:t>
            </w:r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Льготные</w:t>
            </w:r>
            <w:proofErr w:type="gram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микрозаймы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в центрах «Мой бизнес» в Красноярском крае по ставкам от 3% до 9,5%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9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https://мойбизнес-24.рф/sections/mikrofinansirovanie/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Займы в региональном Фонде развития промышленности по ставкам 1-5% </w:t>
            </w:r>
            <w:proofErr w:type="gram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годовых</w:t>
            </w:r>
            <w:proofErr w:type="gram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i/>
                <w:iCs/>
                <w:color w:val="000000"/>
                <w:sz w:val="14"/>
                <w:lang w:eastAsia="ru-RU"/>
              </w:rPr>
              <w:t>Фонд</w:t>
            </w: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ом разработаны 4 программы: «Проекты развития», «Комплектующие», «Производительность», «Лесопереработка». Также доступны совместные программы с федеральным фондом.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Подробная информация – в центре «Мой бизнес» (г. Красноярск, ул. Белинского, д. 5,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пом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. 5 (5 этаж)), тел. (391) 205-44-32</w:t>
            </w:r>
            <w:proofErr w:type="gramEnd"/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10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https://frp-krsk.ru/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Импортёры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Программа льготного кредитования закупок приоритетной импортной продукции по ставке не более 30% ключевой ставки Банка России (</w:t>
            </w:r>
            <w:hyperlink r:id="rId11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https://www.cbr.ru/hd_base/KeyRate/</w:t>
              </w:r>
            </w:hyperlink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) плюс три процентных пункта.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Системообразующие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предприятия агропромышленного сектора, сферы строительства, транспортного </w:t>
            </w: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lastRenderedPageBreak/>
              <w:t>комплекса, промышленности и торговли, IT-отрасли, ЖКХ, топливно-энергетического комплекса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lastRenderedPageBreak/>
              <w:t>Льготные кредиты на пополнение оборотных средств по ставкам: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10% годовых – для АПК;</w:t>
            </w:r>
            <w:proofErr w:type="gramEnd"/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11% годовых – для остальных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lastRenderedPageBreak/>
              <w:t>системообразующих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организаций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12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http://government.ru/sanctions_measures/measure/31/</w:t>
              </w:r>
            </w:hyperlink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13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http://government.ru/sanctions_measures/measure/103/</w:t>
              </w:r>
            </w:hyperlink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14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http://government.ru/sanctions_measures/measure/107/</w:t>
              </w:r>
            </w:hyperlink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15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http://government.ru/sanctions_measures/measure/71/</w:t>
              </w:r>
            </w:hyperlink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16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http://government.ru/sanctions_measures/measure/108/</w:t>
              </w:r>
            </w:hyperlink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17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http://government.ru/sanctions_measures/measure/101/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lastRenderedPageBreak/>
              <w:t>Медиаорганизации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Льготные займы до 10 </w:t>
            </w:r>
            <w:proofErr w:type="spellStart"/>
            <w:proofErr w:type="gram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млрд</w:t>
            </w:r>
            <w:proofErr w:type="spellEnd"/>
            <w:proofErr w:type="gram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рублей на поддержание текущей деятельности и выплату зарплаты сотрудникам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18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http://government.ru/sanctions_measures/measure/122/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IT-компании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Льготные кредиты для организаций, реализующих проекты по разработке и внедрению проектов по цифровой трансформации на основе российских решений по ставке от 1 до 5 % годовых.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Аккредитованные IT-организации могут получить льготный кредит на реализацию новых проектов по льготной ставке до 3 % годовых.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19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http://government.ru/sanctions_measures/measure/65/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Малый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Антикризисный лизинговый продукт Корпорации МСП по ставкам: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6% </w:t>
            </w:r>
            <w:proofErr w:type="gram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годовых</w:t>
            </w:r>
            <w:proofErr w:type="gram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– для отечественного оборудования;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8% – для импортного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Минимальная сумма договора – 500 тыс. рублей. Максимальный срок финансирования – 84 месяца. Доля сопутствующих расходов, которые можно включить в стоимость имущества, – 25%.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Подать заявку можно по ссылке: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20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https://мсп.рф/services/leasing/promo/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Компании, работающие по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госконтрактам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1) отмена штрафов: бессрочный порядок списания штрафов и пеней с подрядчиков, нарушивших обязательства по контракту из-за внешних санкций;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2) поддержка строительной отрасли: изменение цены контракта в связи с ростом стоимости ресурсов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21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http://government.ru/sanctions_measures/measure/11/</w:t>
              </w:r>
            </w:hyperlink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22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http://government.ru/sanctions_measures/measure/45/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Организации и индивидуальные предприниматели, осуществляющие отдельные виды экономической деятельности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Отсрочка уплаты страховых взносов в ПФР, ФОМС и ФСС на 12 месяцев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Отсрочка предоставляется автоматически: </w:t>
            </w:r>
            <w:hyperlink r:id="rId23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http://static.government.ru/media/files/NRCNbzFsW5dxT2WsmSUZTlUjyAcE2p1d.pdf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Работодатели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Субсидия при трудоустройстве молодежи до 30 лет: три минимальных </w:t>
            </w:r>
            <w:proofErr w:type="gram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размера оплаты труда</w:t>
            </w:r>
            <w:proofErr w:type="gram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, увеличенных на районный коэффициент, сумму страховых взносов и количество трудоустроенных.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24" w:tgtFrame="_blank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https://clck.ru/h2S3w</w:t>
              </w:r>
            </w:hyperlink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Работодатели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Финансовая поддержка при привлечении на постоянную работу специалистов из других субъектов РФ: 225 тысяч рублей на одного работника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25" w:tgtFrame="_blank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https://clck.ru/h2S7T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lastRenderedPageBreak/>
              <w:t>Работодатели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Субсидия на частичную оплату труда при организации общественных работ</w:t>
            </w: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br/>
              <w:t>для граждан, зарегистрированных в органах службы занятости, включая безработных граждан, а также на частичную оплату труда и материально-техническое оснащение при организации временного трудоустройства работников организаций, находящихся под риском увольнения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26" w:tgtFrame="_blank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https://clck.ru/h2S3w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Работодатели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Субсидия на возмещение затрат на организацию стажировки безработных и ищущих работу инвалидов при трудоустройстве на постоянные рабочие места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27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https://clck.ru/hGnpk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Работодатели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Субсидия на оборудование (оснащение) рабочих мест для незанятых инвалидов</w:t>
            </w: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br/>
              <w:t>за рабочее место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28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https://clck.ru/hGnpk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Работодатели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Субсидия на возмещение затрат на оплату труда выпускников вузов и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ссузов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, безработных и ищущих работу граждан, принимающих участие в мероприятии по стажировке в целях приобретения ими опыта работы, и на оплату труда наставников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29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https://clck.ru/hGnpk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Работодатели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Субсидия на частичную компенсацию затрат на выплату заработной платы работникам из числа трудоустроенных отдельных категорий граждан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30" w:tgtFrame="_blank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https://clck.ru/h2S3w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Работодатели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Субсидия 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31" w:tgtFrame="_blank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https://clck.ru/h2S3w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Организации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Снижение размера пени при просрочке уплаты налогов: с 9 марта 2022 года по 31 декабря 2023 года пени для организаций нужно рассчитывать исходя из 1/300 ставки рефинансирования. Нормы о повышенных ставках не применяют.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32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http://kremlin.ru/acts/news/68061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Экспортёры промышленной и агропромышленной продукции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Обязательства по договорам о предоставлении субсидий, заключённым до 31 марта 2022 года, могут быть пролонгированы на два года. Всё это время с экспортёров не будут требовать возврата </w:t>
            </w:r>
            <w:proofErr w:type="gram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субсидий</w:t>
            </w:r>
            <w:proofErr w:type="gram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и налагать на них штрафные санкции.   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33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http://government.ru/sanctions_measures/measure/30/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lastRenderedPageBreak/>
              <w:t>Автопроизводители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и производители сельхозтехники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Отсрочка уплаты утилизационного сбора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34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http://government.ru/sanctions_measures/measure/7/</w:t>
              </w:r>
            </w:hyperlink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35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http://government.ru/sanctions_measures/measure/53/</w:t>
              </w:r>
            </w:hyperlink>
          </w:p>
        </w:tc>
      </w:tr>
    </w:tbl>
    <w:p w:rsidR="00133B1C" w:rsidRPr="00133B1C" w:rsidRDefault="00133B1C" w:rsidP="00133B1C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33B1C">
        <w:rPr>
          <w:rFonts w:ascii="Verdana" w:eastAsia="Times New Roman" w:hAnsi="Verdana" w:cs="Times New Roman"/>
          <w:b/>
          <w:bCs/>
          <w:color w:val="FF0000"/>
          <w:sz w:val="14"/>
          <w:szCs w:val="14"/>
          <w:lang w:eastAsia="ru-RU"/>
        </w:rPr>
        <w:t>НАЛОГОВЫЕ</w:t>
      </w:r>
    </w:p>
    <w:p w:rsidR="00133B1C" w:rsidRPr="00133B1C" w:rsidRDefault="00133B1C" w:rsidP="00133B1C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33B1C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00"/>
        <w:gridCol w:w="3405"/>
        <w:gridCol w:w="3637"/>
      </w:tblGrid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Для кого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Мера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Подробная информация</w:t>
            </w:r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Гостиничный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Обнуление ставки НДС: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для новых объектов – в течение 5 лет с момента ввода в эксплуатацию;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для существующих гостиниц – до 30 июня 2027 года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36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http://government.ru/sanctions_measures/measure/42/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IT-компании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Нулевая ставка по налогу на прибыль на 2022-2024 годы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37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http://government.ru/sanctions_measures/measure/9/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Физические лица, организации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Фиксация на 1 января 2022 года кадастровой стоимости недвижимости для определения налогов на имущество организаций,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физлиц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, земельного налога за 2023 год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38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http://kremlin.ru/acts/news/68061</w:t>
              </w:r>
            </w:hyperlink>
          </w:p>
        </w:tc>
      </w:tr>
    </w:tbl>
    <w:p w:rsidR="00133B1C" w:rsidRPr="00133B1C" w:rsidRDefault="00133B1C" w:rsidP="00133B1C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33B1C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</w:t>
      </w:r>
    </w:p>
    <w:p w:rsidR="00133B1C" w:rsidRPr="00133B1C" w:rsidRDefault="00133B1C" w:rsidP="00133B1C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33B1C">
        <w:rPr>
          <w:rFonts w:ascii="Verdana" w:eastAsia="Times New Roman" w:hAnsi="Verdana" w:cs="Times New Roman"/>
          <w:b/>
          <w:bCs/>
          <w:color w:val="FF0000"/>
          <w:sz w:val="14"/>
          <w:szCs w:val="14"/>
          <w:lang w:eastAsia="ru-RU"/>
        </w:rPr>
        <w:t>НЕФИНАНСОВЫЕ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3"/>
        <w:gridCol w:w="3461"/>
        <w:gridCol w:w="4511"/>
      </w:tblGrid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Для кого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Мера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Подробная информация</w:t>
            </w:r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Упрощённый порядок ввоза в Россию электронных устройств и оборудования продлён до конца 2023 года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39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http://government.ru/news/47489/</w:t>
              </w:r>
            </w:hyperlink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Поправки в Кодекс РФ об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административныхправонарушениях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: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·         предупреждение вместо штрафа за первое нарушение;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·         снижение штрафов для малого бизнеса в 2 раза, до уровня, предусмотренного для ИП;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·         исключение двойной ответственности, когда одновременно штрафы накладываются и </w:t>
            </w:r>
            <w:proofErr w:type="gram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на</w:t>
            </w:r>
            <w:proofErr w:type="gram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должностное, и на ЮЛ, даже если виноват только работник;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·         введение принципа «одна проверка – одна санкция», чтобы штрафы за однотипные нарушения не суммировались в рамках одной проверки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40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Изменения</w:t>
              </w:r>
            </w:hyperlink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 в Кодекс РФ об административных правонарушениях.</w:t>
            </w:r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Малый, средний и крупный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Легализация параллельного импорта: Правительство РФ разрешило ввоз в страну востребованных оригинальных товаров иностранного производства без согласия правообладателей.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Перечень товаров сформировал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Минпромторг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России. </w:t>
            </w:r>
            <w:proofErr w:type="gram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В список внесены автомобили и запчасти, электроника, бытовая техника, одежда, обувь, косметика, музыкальные инструменты, часы, мебель, бумага и картон, промышленное оборудование и материалы, фармацевтическая продукция и др.</w:t>
            </w:r>
            <w:proofErr w:type="gram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41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http://government.ru/sanctions_measures/measure/110/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Мораторий на плановые и внеплановые проверки до конца 2023 года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42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http://government.ru/sanctions_measures/measure/4/</w:t>
              </w:r>
            </w:hyperlink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На портале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Госуслуг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работает сервис, где можно пожаловаться на нарушение моратория: </w:t>
            </w:r>
            <w:hyperlink r:id="rId43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https://knd.gosuslugi.ru/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lastRenderedPageBreak/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Срок действия лицензий и других </w:t>
            </w:r>
            <w:proofErr w:type="gram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видов</w:t>
            </w:r>
            <w:proofErr w:type="gram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разрешительных документов автоматически продлевается на 12 месяцев. Их получение или переоформление проходит по упрощённой схеме.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44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http://government.ru/sanctions_measures/measure/8/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Участники контрактной системы в сфере закупок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В Красноярском крае адаптирована контрактная система в сфере закупок.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Теперь есть возможность: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·         изменить по соглашению сторон существенные условия отдельных контрактов, заключенных до 1 января 2023 года, если при их исполнении возникли обстоятельства, независящие от сторон;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·         дополнить случаи, когда заказчик вправо осуществить закупку товаров, работ и услуг у единственного поставщика.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45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http://zakon.krskstate.ru/0/doc/84963</w:t>
              </w:r>
            </w:hyperlink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46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http://www.krskstate.ru/economy_support/regional_support/first/0/id/55917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Фермерские хозяйства и сельхозкооперативы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Перенос введения обязательной маркировки молочной продукции до 1 декабря 2023 года 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47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http://government.ru/sanctions_measures/measure/49/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Перевозчики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Действие обязательного требования об оснащении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тахографами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городских автобусов приостановлено до 1 марта 2024 года.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Мера касается маршрутных такси и автобусов (категории М</w:t>
            </w:r>
            <w:proofErr w:type="gram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и М3).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48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http://government.ru/sanctions_measures/measure/63/</w:t>
              </w:r>
            </w:hyperlink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Малый и средний бизнес,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самозанятые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Региональный портал поставщиков «Сделано в крае»: </w:t>
            </w:r>
            <w:hyperlink r:id="rId49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mb-24.ru</w:t>
              </w:r>
            </w:hyperlink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На данной платформе формируется единая база производимой продукции и услуг малых и средних предприятий, а также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самозанятых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Красноярского края.</w:t>
            </w:r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Малый, средний и крупный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Онлайн-сервис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«Биржа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импортозамещения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»: </w:t>
            </w:r>
            <w:hyperlink r:id="rId50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https://etpgpb.ru/portal/import-substitution/</w:t>
              </w:r>
            </w:hyperlink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«Биржа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импортозамещения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» запущена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Минпромторгом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России совместно с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Газпромбанком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и Агентством по технологическому развитию.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 помощью сервиса заказчики смогут публиковать запросы на приобретение товаров, а поставщики – направлять свои ценовые предложения и аналоги без дополнительных затрат, согласований и посредников.</w:t>
            </w:r>
          </w:p>
        </w:tc>
      </w:tr>
      <w:tr w:rsidR="00133B1C" w:rsidRPr="00133B1C" w:rsidTr="00133B1C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Онлайн-сервис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«Производственная кооперация и сбыт»: </w:t>
            </w:r>
            <w:hyperlink r:id="rId51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https://мсп.рф/services/development/</w:t>
              </w:r>
            </w:hyperlink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Корпорация МСП поддерживает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импортозамещение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и помогает расширить сбыт отечественных компаний.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На сервисе создаётся: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1) бесплатная база проверенных производителей со всей России для информирования о них крупных заказчиков и для кооперации поставщиков;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2) витрина закупок малого объёма – бесплатный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агрегатор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закупок до 500 тыс.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, проводимых по 223-ФЗ</w:t>
            </w:r>
          </w:p>
        </w:tc>
      </w:tr>
    </w:tbl>
    <w:p w:rsidR="00133B1C" w:rsidRPr="00133B1C" w:rsidRDefault="00133B1C" w:rsidP="00133B1C">
      <w:pPr>
        <w:shd w:val="clear" w:color="auto" w:fill="FFFFFF"/>
        <w:spacing w:after="125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33B1C">
        <w:rPr>
          <w:rFonts w:ascii="Verdana" w:eastAsia="Times New Roman" w:hAnsi="Verdana" w:cs="Times New Roman"/>
          <w:b/>
          <w:bCs/>
          <w:color w:val="FF0000"/>
          <w:sz w:val="14"/>
          <w:szCs w:val="14"/>
          <w:lang w:eastAsia="ru-RU"/>
        </w:rPr>
        <w:t>«ГОРЯЧИЕ ЛИНИИ» И СЕРВИСЫ ДЛЯ ОБРАЩЕНИЙ ПРЕДПРИНИМАТЕЛЕЙ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69"/>
        <w:gridCol w:w="4183"/>
        <w:gridCol w:w="3283"/>
      </w:tblGrid>
      <w:tr w:rsidR="00133B1C" w:rsidRPr="00133B1C" w:rsidTr="00133B1C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Для кого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Сервис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Для чего</w:t>
            </w:r>
          </w:p>
        </w:tc>
      </w:tr>
      <w:tr w:rsidR="00133B1C" w:rsidRPr="00133B1C" w:rsidTr="00133B1C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Региональная сеть центров «Мой бизнес» – 8-800-234-01-24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Также можно отправить свой вопрос по ссылке: </w:t>
            </w:r>
            <w:hyperlink r:id="rId52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https://мойбизнес-24.рф/feedback/sanctions/</w:t>
              </w:r>
            </w:hyperlink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Получить консультацию по федеральным и региональным мерам поддержки субъектов МСП и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самозанятых</w:t>
            </w:r>
            <w:proofErr w:type="spellEnd"/>
          </w:p>
        </w:tc>
      </w:tr>
      <w:tr w:rsidR="00133B1C" w:rsidRPr="00133B1C" w:rsidTr="00133B1C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Сервис «360» Корпорации МСП: </w:t>
            </w:r>
            <w:hyperlink r:id="rId53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https://corpmsp.ru/360</w:t>
              </w:r>
            </w:hyperlink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Сообщить о нарушении своих прав при проверках и получении поддержки.</w:t>
            </w:r>
          </w:p>
        </w:tc>
      </w:tr>
      <w:tr w:rsidR="00133B1C" w:rsidRPr="00133B1C" w:rsidTr="00133B1C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Платформа «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ЗаБизнес</w:t>
            </w:r>
            <w:proofErr w:type="gram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Ф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»: </w:t>
            </w:r>
            <w:hyperlink r:id="rId54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https://забизнес.рф/</w:t>
              </w:r>
            </w:hyperlink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Сообщить об оказании давления на бизнес со стороны правоохранительных органов.</w:t>
            </w:r>
          </w:p>
        </w:tc>
      </w:tr>
      <w:tr w:rsidR="00133B1C" w:rsidRPr="00133B1C" w:rsidTr="00133B1C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lastRenderedPageBreak/>
              <w:t>Малый и средний бизнес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Краевая комиссия для рассмотрения вопросов по устранению административных барьеров: </w:t>
            </w:r>
            <w:hyperlink r:id="rId55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https://мойбизнес-24.рф/o-proekte/trust/</w:t>
              </w:r>
            </w:hyperlink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Сообщить о барьерах в ходе ведения предпринимательской деятельности, в том числе связанными с деятельностью органов власти, контрольно-надзорных органов, а также проблемами с доступом к объектам коммунальной и транспортной инфраструктуры, инфраструктуры поддержки субъектов МСП и т.д.</w:t>
            </w:r>
          </w:p>
        </w:tc>
      </w:tr>
      <w:tr w:rsidR="00133B1C" w:rsidRPr="00133B1C" w:rsidTr="00133B1C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Промышленные предприятия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«Горячие линии» Консультационного центра Фонда развития промышленности: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+7 (495) 120-24-16;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+7 (800) 500-71-29.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Обратиться за консультацией по новым условиям ведения бизнеса (как будут работать контракты по ФЗ-№44, какие введут корректировки для подтверждения статуса российского товара и т.д.) и по доступным мерам поддержки</w:t>
            </w:r>
          </w:p>
        </w:tc>
      </w:tr>
      <w:tr w:rsidR="00133B1C" w:rsidRPr="00133B1C" w:rsidTr="00133B1C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Экспортёры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«Горячая линия» Российского экспортного центра (РЭЦ)*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hyperlink r:id="rId56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https://www.exportcenter.ru/interviews/detail.php?VOTE_ID=43</w:t>
              </w:r>
            </w:hyperlink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*На сайте </w:t>
            </w:r>
            <w:hyperlink r:id="rId57" w:history="1">
              <w:r w:rsidRPr="00133B1C">
                <w:rPr>
                  <w:rFonts w:ascii="Tahoma" w:eastAsia="Times New Roman" w:hAnsi="Tahoma" w:cs="Tahoma"/>
                  <w:color w:val="666666"/>
                  <w:sz w:val="14"/>
                  <w:u w:val="single"/>
                  <w:lang w:eastAsia="ru-RU"/>
                </w:rPr>
                <w:t>https://www.exportcenter.ru/</w:t>
              </w:r>
            </w:hyperlink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 регулярно публикуется сводная карта ограничений </w:t>
            </w:r>
            <w:proofErr w:type="gram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экспортной</w:t>
            </w:r>
            <w:proofErr w:type="gram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деятельности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Задать вопросы, связанные экономической ситуацией, сообщить важную для бизнеса информацию или предложить решение проблемы</w:t>
            </w:r>
          </w:p>
        </w:tc>
      </w:tr>
      <w:tr w:rsidR="00133B1C" w:rsidRPr="00133B1C" w:rsidTr="00133B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B1C" w:rsidRPr="00133B1C" w:rsidRDefault="00133B1C" w:rsidP="00133B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Ситуационный центр для решения практических вопросов отечественного бизнеса в области внешней торговли: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+7-968-406-76-60, 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trade@ftac.ru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Сообщить о проблемных вопросах, связанных с осуществлением международных грузовых перевозок между Россией и зарубежными государствами, возникающих сложностях, задать вопросы о механизмах господдержки.</w:t>
            </w:r>
          </w:p>
        </w:tc>
      </w:tr>
      <w:tr w:rsidR="00133B1C" w:rsidRPr="00133B1C" w:rsidTr="00133B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B1C" w:rsidRPr="00133B1C" w:rsidRDefault="00133B1C" w:rsidP="00133B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«Горячая линия» Министерство транспорта России: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+7 (499) 495-00-11, gruz@sicmt.ru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Обратиться за консультацией по вопросам международных грузовых перевозок</w:t>
            </w:r>
          </w:p>
        </w:tc>
      </w:tr>
      <w:tr w:rsidR="00133B1C" w:rsidRPr="00133B1C" w:rsidTr="00133B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B1C" w:rsidRPr="00133B1C" w:rsidRDefault="00133B1C" w:rsidP="00133B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«Горячие линии» таможенной службы: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+ 7 (391) 256-61-80 (доб.0, Сибирская электронная таможня);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+ 7 (391) 256-60-66 (Красноярская таможня);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+7 (499) 720-97-95 (Московская областная таможня);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+7 (495) 276-06-43 (Домодедовская таможня);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+7 (495) 285-65-38 (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Внуковская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таможня);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+7 (495) 538-73-35, 538-74-26, 538-73-42 (Шереметьевская таможня);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+7 (495) 915-37-59 (Центральная акцизная таможня);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+7 (4012) 609-471 (Калининградская областная таможня);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+ 7 (495) 276-47-74 (Центральная почтовая таможня);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+7 (499) 975-16-03 (Центральное территориальное управление);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+7 (812) 640-34-52, 640-34-14, 640-32-51 (Северо-Западное территориальное управление);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+7 (863) 250-93-15 (Южное территориальное управление);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+7 (879) 225-48-33 (</w:t>
            </w:r>
            <w:proofErr w:type="spellStart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Северо-Кавказское</w:t>
            </w:r>
            <w:proofErr w:type="spellEnd"/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территориальное управление);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+7 (831) 229-93-30, 229-95-53, 229-93-49, 229-93-51 (Приволжское территориальное управление);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+7 (343) 359-52-11 (Уральское территориальное управление);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+7 (383) 319-90-30 (Сибирское территориальное управление);</w:t>
            </w:r>
          </w:p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lastRenderedPageBreak/>
              <w:t>+7 (423) 265-11-23 (Дальневосточное территориальное управление)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B1C" w:rsidRPr="00133B1C" w:rsidRDefault="00133B1C" w:rsidP="00133B1C">
            <w:pPr>
              <w:spacing w:after="125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</w:pPr>
            <w:r w:rsidRPr="00133B1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lastRenderedPageBreak/>
              <w:t>Обратиться с вопросами функционирования пунктов пропуска (МАПП, ЖДПП), расположенных в регионе деятельности таможенных управлений, по вопросам оформления товаров и транспортных средств</w:t>
            </w:r>
          </w:p>
        </w:tc>
      </w:tr>
    </w:tbl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B1C"/>
    <w:rsid w:val="00106AA3"/>
    <w:rsid w:val="00133B1C"/>
    <w:rsid w:val="005C4827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paragraph" w:styleId="1">
    <w:name w:val="heading 1"/>
    <w:basedOn w:val="a"/>
    <w:link w:val="10"/>
    <w:uiPriority w:val="9"/>
    <w:qFormat/>
    <w:rsid w:val="00133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3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3B1C"/>
    <w:rPr>
      <w:color w:val="0000FF"/>
      <w:u w:val="single"/>
    </w:rPr>
  </w:style>
  <w:style w:type="character" w:styleId="a5">
    <w:name w:val="Emphasis"/>
    <w:basedOn w:val="a0"/>
    <w:uiPriority w:val="20"/>
    <w:qFormat/>
    <w:rsid w:val="00133B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vernment.ru/sanctions_measures/measure/103/" TargetMode="External"/><Relationship Id="rId18" Type="http://schemas.openxmlformats.org/officeDocument/2006/relationships/hyperlink" Target="http://government.ru/sanctions_measures/measure/122/" TargetMode="External"/><Relationship Id="rId26" Type="http://schemas.openxmlformats.org/officeDocument/2006/relationships/hyperlink" Target="https://vk.com/away.php?to=https%3A%2F%2Fclck.ru%2Fh2S3w&amp;post=-202270637_1582&amp;cc_key=" TargetMode="External"/><Relationship Id="rId39" Type="http://schemas.openxmlformats.org/officeDocument/2006/relationships/hyperlink" Target="http://government.ru/news/47489/" TargetMode="External"/><Relationship Id="rId21" Type="http://schemas.openxmlformats.org/officeDocument/2006/relationships/hyperlink" Target="http://government.ru/sanctions_measures/measure/11/" TargetMode="External"/><Relationship Id="rId34" Type="http://schemas.openxmlformats.org/officeDocument/2006/relationships/hyperlink" Target="http://government.ru/sanctions_measures/measure/7/" TargetMode="External"/><Relationship Id="rId42" Type="http://schemas.openxmlformats.org/officeDocument/2006/relationships/hyperlink" Target="http://government.ru/sanctions_measures/measure/4/" TargetMode="External"/><Relationship Id="rId47" Type="http://schemas.openxmlformats.org/officeDocument/2006/relationships/hyperlink" Target="http://government.ru/sanctions_measures/measure/49/" TargetMode="External"/><Relationship Id="rId50" Type="http://schemas.openxmlformats.org/officeDocument/2006/relationships/hyperlink" Target="https://etpgpb.ru/portal/import-substitution/" TargetMode="External"/><Relationship Id="rId55" Type="http://schemas.openxmlformats.org/officeDocument/2006/relationships/hyperlink" Target="https://xn---24-9cdulgg0aog6b.xn--p1ai/o-proekte/trust/" TargetMode="External"/><Relationship Id="rId7" Type="http://schemas.openxmlformats.org/officeDocument/2006/relationships/hyperlink" Target="http://invest.economy.gov.ru/22" TargetMode="External"/><Relationship Id="rId12" Type="http://schemas.openxmlformats.org/officeDocument/2006/relationships/hyperlink" Target="http://government.ru/sanctions_measures/measure/31/" TargetMode="External"/><Relationship Id="rId17" Type="http://schemas.openxmlformats.org/officeDocument/2006/relationships/hyperlink" Target="http://government.ru/sanctions_measures/measure/101/" TargetMode="External"/><Relationship Id="rId25" Type="http://schemas.openxmlformats.org/officeDocument/2006/relationships/hyperlink" Target="https://vk.com/away.php?to=https%3A%2F%2Fclck.ru%2Fh2S7T&amp;post=-202270637_1582&amp;cc_key=" TargetMode="External"/><Relationship Id="rId33" Type="http://schemas.openxmlformats.org/officeDocument/2006/relationships/hyperlink" Target="http://government.ru/sanctions_measures/measure/30/" TargetMode="External"/><Relationship Id="rId38" Type="http://schemas.openxmlformats.org/officeDocument/2006/relationships/hyperlink" Target="http://kremlin.ru/acts/news/68061" TargetMode="External"/><Relationship Id="rId46" Type="http://schemas.openxmlformats.org/officeDocument/2006/relationships/hyperlink" Target="http://www.krskstate.ru/economy_support/regional_support/first/0/id/55917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government.ru/sanctions_measures/measure/108/" TargetMode="External"/><Relationship Id="rId20" Type="http://schemas.openxmlformats.org/officeDocument/2006/relationships/hyperlink" Target="https://xn--l1agf.xn--p1ai/services/leasing/promo/" TargetMode="External"/><Relationship Id="rId29" Type="http://schemas.openxmlformats.org/officeDocument/2006/relationships/hyperlink" Target="https://clck.ru/hGnpk" TargetMode="External"/><Relationship Id="rId41" Type="http://schemas.openxmlformats.org/officeDocument/2006/relationships/hyperlink" Target="http://government.ru/sanctions_measures/measure/110/" TargetMode="External"/><Relationship Id="rId54" Type="http://schemas.openxmlformats.org/officeDocument/2006/relationships/hyperlink" Target="https://xn--80acmfcf0b7a.xn--p1ai/" TargetMode="External"/><Relationship Id="rId1" Type="http://schemas.openxmlformats.org/officeDocument/2006/relationships/styles" Target="styles.xml"/><Relationship Id="rId6" Type="http://schemas.openxmlformats.org/officeDocument/2006/relationships/hyperlink" Target="https://corpmsp.ru/bankam/programma_stimulir/" TargetMode="External"/><Relationship Id="rId11" Type="http://schemas.openxmlformats.org/officeDocument/2006/relationships/hyperlink" Target="https://www.cbr.ru/hd_base/KeyRate/" TargetMode="External"/><Relationship Id="rId24" Type="http://schemas.openxmlformats.org/officeDocument/2006/relationships/hyperlink" Target="https://vk.com/away.php?to=https%3A%2F%2Fclck.ru%2Fh2S3w&amp;post=-202270637_1582&amp;cc_key=" TargetMode="External"/><Relationship Id="rId32" Type="http://schemas.openxmlformats.org/officeDocument/2006/relationships/hyperlink" Target="http://kremlin.ru/acts/news/68061" TargetMode="External"/><Relationship Id="rId37" Type="http://schemas.openxmlformats.org/officeDocument/2006/relationships/hyperlink" Target="http://government.ru/sanctions_measures/measure/9/" TargetMode="External"/><Relationship Id="rId40" Type="http://schemas.openxmlformats.org/officeDocument/2006/relationships/hyperlink" Target="https://corpmsp.ru/pres_slujba/news/sovet_federatsii_odobril_razrabotannye_s_korporatsiey_msp_popravki_v_koap_dlya_snizheniya_administra/" TargetMode="External"/><Relationship Id="rId45" Type="http://schemas.openxmlformats.org/officeDocument/2006/relationships/hyperlink" Target="http://zakon.krskstate.ru/0/doc/84963" TargetMode="External"/><Relationship Id="rId53" Type="http://schemas.openxmlformats.org/officeDocument/2006/relationships/hyperlink" Target="https://corpmsp.ru/360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xn--l1agf.xn--p1ai/services/competence-credit/promo/" TargetMode="External"/><Relationship Id="rId15" Type="http://schemas.openxmlformats.org/officeDocument/2006/relationships/hyperlink" Target="http://government.ru/sanctions_measures/measure/71/" TargetMode="External"/><Relationship Id="rId23" Type="http://schemas.openxmlformats.org/officeDocument/2006/relationships/hyperlink" Target="http://static.government.ru/media/files/NRCNbzFsW5dxT2WsmSUZTlUjyAcE2p1d.pdf" TargetMode="External"/><Relationship Id="rId28" Type="http://schemas.openxmlformats.org/officeDocument/2006/relationships/hyperlink" Target="https://clck.ru/hGnpk" TargetMode="External"/><Relationship Id="rId36" Type="http://schemas.openxmlformats.org/officeDocument/2006/relationships/hyperlink" Target="http://government.ru/sanctions_measures/measure/42/" TargetMode="External"/><Relationship Id="rId49" Type="http://schemas.openxmlformats.org/officeDocument/2006/relationships/hyperlink" Target="https://mb-24.ru/" TargetMode="External"/><Relationship Id="rId57" Type="http://schemas.openxmlformats.org/officeDocument/2006/relationships/hyperlink" Target="https://www.exportcenter.ru/" TargetMode="External"/><Relationship Id="rId10" Type="http://schemas.openxmlformats.org/officeDocument/2006/relationships/hyperlink" Target="https://frp-krsk.ru/" TargetMode="External"/><Relationship Id="rId19" Type="http://schemas.openxmlformats.org/officeDocument/2006/relationships/hyperlink" Target="http://government.ru/sanctions_measures/measure/65/" TargetMode="External"/><Relationship Id="rId31" Type="http://schemas.openxmlformats.org/officeDocument/2006/relationships/hyperlink" Target="https://vk.com/away.php?to=https%3A%2F%2Fclck.ru%2Fh2S3w&amp;post=-202270637_1582&amp;cc_key=" TargetMode="External"/><Relationship Id="rId44" Type="http://schemas.openxmlformats.org/officeDocument/2006/relationships/hyperlink" Target="http://government.ru/sanctions_measures/measure/8/" TargetMode="External"/><Relationship Id="rId52" Type="http://schemas.openxmlformats.org/officeDocument/2006/relationships/hyperlink" Target="https://xn---24-9cdulgg0aog6b.xn--p1ai/feedback/sanctions/" TargetMode="External"/><Relationship Id="rId4" Type="http://schemas.openxmlformats.org/officeDocument/2006/relationships/hyperlink" Target="https://corpmsp.ru/bankam/psk1764/" TargetMode="External"/><Relationship Id="rId9" Type="http://schemas.openxmlformats.org/officeDocument/2006/relationships/hyperlink" Target="https://xn---24-9cdulgg0aog6b.xn--p1ai/sections/mikrofinansirovanie/" TargetMode="External"/><Relationship Id="rId14" Type="http://schemas.openxmlformats.org/officeDocument/2006/relationships/hyperlink" Target="http://government.ru/sanctions_measures/measure/107/" TargetMode="External"/><Relationship Id="rId22" Type="http://schemas.openxmlformats.org/officeDocument/2006/relationships/hyperlink" Target="http://government.ru/sanctions_measures/measure/45/" TargetMode="External"/><Relationship Id="rId27" Type="http://schemas.openxmlformats.org/officeDocument/2006/relationships/hyperlink" Target="https://clck.ru/hGnpk" TargetMode="External"/><Relationship Id="rId30" Type="http://schemas.openxmlformats.org/officeDocument/2006/relationships/hyperlink" Target="https://vk.com/away.php?to=https%3A%2F%2Fclck.ru%2Fh2S3w&amp;post=-202270637_1582&amp;cc_key=" TargetMode="External"/><Relationship Id="rId35" Type="http://schemas.openxmlformats.org/officeDocument/2006/relationships/hyperlink" Target="http://government.ru/sanctions_measures/measure/53/" TargetMode="External"/><Relationship Id="rId43" Type="http://schemas.openxmlformats.org/officeDocument/2006/relationships/hyperlink" Target="https://knd.gosuslugi.ru/" TargetMode="External"/><Relationship Id="rId48" Type="http://schemas.openxmlformats.org/officeDocument/2006/relationships/hyperlink" Target="http://government.ru/sanctions_measures/measure/63/" TargetMode="External"/><Relationship Id="rId56" Type="http://schemas.openxmlformats.org/officeDocument/2006/relationships/hyperlink" Target="https://www.exportcenter.ru/interviews/detail.php?VOTE_ID=43" TargetMode="External"/><Relationship Id="rId8" Type="http://schemas.openxmlformats.org/officeDocument/2006/relationships/hyperlink" Target="https://xn--l1agf.xn--p1ai/hightech.new/promo/" TargetMode="External"/><Relationship Id="rId51" Type="http://schemas.openxmlformats.org/officeDocument/2006/relationships/hyperlink" Target="https://xn--l1agf.xn--p1ai/services/development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2787</Words>
  <Characters>15888</Characters>
  <Application>Microsoft Office Word</Application>
  <DocSecurity>0</DocSecurity>
  <Lines>132</Lines>
  <Paragraphs>37</Paragraphs>
  <ScaleCrop>false</ScaleCrop>
  <Company>*</Company>
  <LinksUpToDate>false</LinksUpToDate>
  <CharactersWithSpaces>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2025-02-06T04:02:00Z</dcterms:created>
  <dcterms:modified xsi:type="dcterms:W3CDTF">2025-02-06T04:02:00Z</dcterms:modified>
</cp:coreProperties>
</file>